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44" w:rsidRDefault="00417844" w:rsidP="008E76D2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417844" w:rsidRPr="00D221E7" w:rsidRDefault="00417844" w:rsidP="00D221E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D221E7">
        <w:rPr>
          <w:rFonts w:ascii="Times New Roman" w:hAnsi="Times New Roman"/>
          <w:sz w:val="30"/>
          <w:szCs w:val="30"/>
          <w:lang w:eastAsia="ru-RU"/>
        </w:rPr>
        <w:t>МАТЕРИАЛ</w:t>
      </w:r>
    </w:p>
    <w:p w:rsidR="00417844" w:rsidRPr="00D221E7" w:rsidRDefault="00417844" w:rsidP="00D221E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D221E7">
        <w:rPr>
          <w:rFonts w:ascii="Times New Roman" w:hAnsi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417844" w:rsidRPr="00D221E7" w:rsidRDefault="00417844" w:rsidP="00D221E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D221E7">
        <w:rPr>
          <w:rFonts w:ascii="Times New Roman" w:hAnsi="Times New Roman"/>
          <w:sz w:val="30"/>
          <w:szCs w:val="30"/>
          <w:lang w:eastAsia="ru-RU"/>
        </w:rPr>
        <w:t>(</w:t>
      </w:r>
      <w:r>
        <w:rPr>
          <w:rFonts w:ascii="Times New Roman" w:hAnsi="Times New Roman"/>
          <w:sz w:val="30"/>
          <w:szCs w:val="30"/>
          <w:lang w:eastAsia="ru-RU"/>
        </w:rPr>
        <w:t>январь</w:t>
      </w:r>
      <w:r w:rsidRPr="00D221E7">
        <w:rPr>
          <w:rFonts w:ascii="Times New Roman" w:hAnsi="Times New Roman"/>
          <w:sz w:val="30"/>
          <w:szCs w:val="30"/>
          <w:lang w:eastAsia="ru-RU"/>
        </w:rPr>
        <w:t xml:space="preserve"> 202</w:t>
      </w:r>
      <w:r>
        <w:rPr>
          <w:rFonts w:ascii="Times New Roman" w:hAnsi="Times New Roman"/>
          <w:sz w:val="30"/>
          <w:szCs w:val="30"/>
          <w:lang w:eastAsia="ru-RU"/>
        </w:rPr>
        <w:t>4</w:t>
      </w:r>
      <w:r w:rsidRPr="00D221E7">
        <w:rPr>
          <w:rFonts w:ascii="Times New Roman" w:hAnsi="Times New Roman"/>
          <w:sz w:val="30"/>
          <w:szCs w:val="30"/>
          <w:lang w:val="en-US" w:eastAsia="ru-RU"/>
        </w:rPr>
        <w:t> </w:t>
      </w:r>
      <w:r w:rsidRPr="00D221E7">
        <w:rPr>
          <w:rFonts w:ascii="Times New Roman" w:hAnsi="Times New Roman"/>
          <w:sz w:val="30"/>
          <w:szCs w:val="30"/>
          <w:lang w:eastAsia="ru-RU"/>
        </w:rPr>
        <w:t>г.)</w:t>
      </w:r>
    </w:p>
    <w:p w:rsidR="00417844" w:rsidRPr="00D221E7" w:rsidRDefault="00417844" w:rsidP="00D221E7">
      <w:pPr>
        <w:spacing w:after="0" w:line="240" w:lineRule="auto"/>
        <w:ind w:firstLine="566"/>
        <w:jc w:val="both"/>
        <w:rPr>
          <w:rFonts w:ascii="Times New Roman" w:hAnsi="Times New Roman"/>
          <w:sz w:val="30"/>
          <w:szCs w:val="30"/>
          <w:lang w:eastAsia="ru-RU"/>
        </w:rPr>
      </w:pPr>
      <w:r w:rsidRPr="00D221E7">
        <w:rPr>
          <w:rFonts w:ascii="Times New Roman" w:hAnsi="Times New Roman"/>
          <w:sz w:val="30"/>
          <w:szCs w:val="30"/>
          <w:lang w:val="en-US" w:eastAsia="ru-RU"/>
        </w:rPr>
        <w:t> </w:t>
      </w:r>
    </w:p>
    <w:p w:rsidR="00417844" w:rsidRDefault="00417844" w:rsidP="00D221E7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D221E7">
        <w:rPr>
          <w:rFonts w:ascii="Times New Roman" w:hAnsi="Times New Roman"/>
          <w:b/>
          <w:bCs/>
          <w:sz w:val="30"/>
          <w:szCs w:val="30"/>
          <w:lang w:eastAsia="ru-RU"/>
        </w:rPr>
        <w:t xml:space="preserve">ПОВЫШЕНИЕ КАЧЕСТВА И ДОСТУПНОСТИ ОКАЗАНИЯ МЕДИЦИНСКОЙ ПОМОЩИ НАСЕЛЕНИЮ </w:t>
      </w:r>
    </w:p>
    <w:p w:rsidR="00417844" w:rsidRPr="00D221E7" w:rsidRDefault="00417844" w:rsidP="00D221E7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D221E7">
        <w:rPr>
          <w:rFonts w:ascii="Times New Roman" w:hAnsi="Times New Roman"/>
          <w:b/>
          <w:bCs/>
          <w:sz w:val="30"/>
          <w:szCs w:val="30"/>
          <w:lang w:eastAsia="ru-RU"/>
        </w:rPr>
        <w:t>БРЕСТСКОЙ ОБЛАСТИ</w:t>
      </w:r>
    </w:p>
    <w:p w:rsidR="00417844" w:rsidRPr="00D221E7" w:rsidRDefault="00417844" w:rsidP="00D221E7">
      <w:pPr>
        <w:spacing w:after="0" w:line="240" w:lineRule="auto"/>
        <w:ind w:firstLine="566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D221E7">
        <w:rPr>
          <w:rFonts w:ascii="Times New Roman" w:hAnsi="Times New Roman"/>
          <w:sz w:val="30"/>
          <w:szCs w:val="30"/>
          <w:lang w:eastAsia="ru-RU"/>
        </w:rPr>
        <w:t>(областная тема)</w:t>
      </w:r>
    </w:p>
    <w:p w:rsidR="00417844" w:rsidRDefault="00417844" w:rsidP="00D21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17844" w:rsidRPr="004479D9" w:rsidRDefault="00417844" w:rsidP="00D21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>В 2023 году продолжено выполнение Регионального комплекса мероприятий по реализации Государственной программы «Здоровье народа и демографическая безопасность» на 2021-2025 годы (далее – Госпрограмма) и утвержденного решением Брестского областного Совета депутатов 24 мая 2021 года № 256.</w:t>
      </w:r>
    </w:p>
    <w:p w:rsidR="00417844" w:rsidRPr="004479D9" w:rsidRDefault="00417844" w:rsidP="00D21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>Анализ имеющихся демографических показателей за январь-ноябрь 2023 года свидетельствует о снижении показателя смертности населения на 11,3% до 12,4‰ (январь-ноябрь 2022 г. – 13,9‰). Число умерших от всех причин снизилось на 2 003 человека, с 16 875 до 14 872.</w:t>
      </w:r>
    </w:p>
    <w:p w:rsidR="00417844" w:rsidRPr="004479D9" w:rsidRDefault="00417844" w:rsidP="00D21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>Естественная убыль населения сократилась до 4 796 человек или 4,0‰ (январь-ноябрь 2022 г. – 6 152 человека или 5,1‰, за январь-ноябрь 2021 г. – 11 904 человека или 9,7‰, январь-ноябрь 2020 г.  – 6 437 человек или 5,2‰, январь-ноябрь 2019 г. – 2 618 человек или 2,1‰, январь-ноябрь 2018 г. – 1 842 человека или 1,5‰).</w:t>
      </w:r>
    </w:p>
    <w:p w:rsidR="00417844" w:rsidRPr="004479D9" w:rsidRDefault="00417844" w:rsidP="00D21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>Число родившихся в 2023 году снизилось с 10 723 до 10 076 (на 647 детей или на 6%). Показатель рождаемости составил – 8,4‰ (январь-ноябрь 2022 г. – 8,9‰), что выше среднереспубликанского показателя за</w:t>
      </w:r>
      <w:r>
        <w:rPr>
          <w:rFonts w:ascii="Times New Roman" w:hAnsi="Times New Roman"/>
          <w:sz w:val="30"/>
          <w:szCs w:val="30"/>
        </w:rPr>
        <w:t xml:space="preserve">  </w:t>
      </w:r>
      <w:r w:rsidRPr="004479D9">
        <w:rPr>
          <w:rFonts w:ascii="Times New Roman" w:hAnsi="Times New Roman"/>
          <w:sz w:val="30"/>
          <w:szCs w:val="30"/>
        </w:rPr>
        <w:t xml:space="preserve"> 6 мес. 2023 г. – 7, 1‰.</w:t>
      </w:r>
    </w:p>
    <w:p w:rsidR="00417844" w:rsidRPr="004479D9" w:rsidRDefault="00417844" w:rsidP="00D21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>Среди лиц трудоспособного возраста отмечено снижение   количества смертей на 308 случаев или на 8,6%, с 3 574 до 3 266 человек.</w:t>
      </w:r>
    </w:p>
    <w:p w:rsidR="00417844" w:rsidRPr="004479D9" w:rsidRDefault="00417844" w:rsidP="00D21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Показатель смертности среди трудоспособных сократился и составил 4,8‰ (январь-ноябрь 2022 – 5,2‰, январь-ноябрь 2021 – 6,2‰, январь- ноябрь 2020 г. – 4,9‰, январь-ноябрь 2019 г. – 4,3‰). </w:t>
      </w:r>
    </w:p>
    <w:p w:rsidR="00417844" w:rsidRPr="004479D9" w:rsidRDefault="00417844" w:rsidP="00D21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Удельный вес случаев смерти этой категории населения в возрастной структуре возрос до 22% (январь-ноябрь 2022 г. – 21,2%). </w:t>
      </w:r>
    </w:p>
    <w:p w:rsidR="00417844" w:rsidRPr="004479D9" w:rsidRDefault="00417844" w:rsidP="00D21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>За январь - ноябрь 2023 умер 21 ребенок в возрасте до года, показатель младенческой смертности составил 2,02‰, что на 21,4% ниже, чем за аналогичный период 2022 года, когда умерло 29 детей и зафиксирована младенческая смертность на уровне 2,57‰.</w:t>
      </w:r>
    </w:p>
    <w:p w:rsidR="00417844" w:rsidRPr="004479D9" w:rsidRDefault="00417844" w:rsidP="00D21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>В возрасте 0-17 лет количество умерших детей снизилось с 58 до 54, детская смертность составила 20,57 на 100 000 (за январь-ноябрь 2022 г. показатель составлял 21,89 просантимилле).</w:t>
      </w:r>
    </w:p>
    <w:p w:rsidR="00417844" w:rsidRPr="004479D9" w:rsidRDefault="00417844" w:rsidP="00D21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Охват населения работой команд врачей общей практики (далее – ВОП) планировался не менее 75%, по результатам работы за 9 месяцев 2023 года охват составил 95,5%. </w:t>
      </w:r>
    </w:p>
    <w:p w:rsidR="00417844" w:rsidRPr="004479D9" w:rsidRDefault="00417844" w:rsidP="00D21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В Брестской области во внедрении пилотного проекта «Заботливая поликлиника» участвует 3 организации здравоохранения: УЗ «Барановичская центральная поликлиника», УЗ «Брестская городская поликлиника № 2» и поликлиника УЗ «Брестская городская больница </w:t>
      </w:r>
      <w:r>
        <w:rPr>
          <w:rFonts w:ascii="Times New Roman" w:hAnsi="Times New Roman"/>
          <w:sz w:val="30"/>
          <w:szCs w:val="30"/>
        </w:rPr>
        <w:t xml:space="preserve">      </w:t>
      </w:r>
      <w:r w:rsidRPr="004479D9">
        <w:rPr>
          <w:rFonts w:ascii="Times New Roman" w:hAnsi="Times New Roman"/>
          <w:sz w:val="30"/>
          <w:szCs w:val="30"/>
        </w:rPr>
        <w:t xml:space="preserve">№ 2». </w:t>
      </w:r>
      <w:r w:rsidRPr="004479D9">
        <w:rPr>
          <w:rFonts w:ascii="Times New Roman" w:hAnsi="Times New Roman"/>
          <w:sz w:val="30"/>
          <w:szCs w:val="30"/>
        </w:rPr>
        <w:tab/>
      </w:r>
    </w:p>
    <w:p w:rsidR="00417844" w:rsidRPr="004479D9" w:rsidRDefault="00417844" w:rsidP="00D21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Проблемными вопросами в реализации проекта «Заботливая поликлиника» является необходимость проведения ремонтно-строительных работ в учреждениях здравоохранения для перепланировки, в том числе строительства новых и модернизации существующих локальных вычислительных сетей (сети имеют плохо организованную структуру, оснащены устаревшим коммуникационным оборудованием, что вызывает нестабильную работу сети при высоких нагрузках). </w:t>
      </w:r>
    </w:p>
    <w:p w:rsidR="00417844" w:rsidRPr="004479D9" w:rsidRDefault="00417844" w:rsidP="00D21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Дополнительно проект «Заботливая поликлиника» реализован в г. Бресте на базе введенного в эксплуатацию в декабре 2021 г. медицинского комплекса, который включает в себя взрослую поликлинику </w:t>
      </w:r>
      <w:r>
        <w:rPr>
          <w:rFonts w:ascii="Times New Roman" w:hAnsi="Times New Roman"/>
          <w:sz w:val="30"/>
          <w:szCs w:val="30"/>
        </w:rPr>
        <w:t xml:space="preserve">                  </w:t>
      </w:r>
      <w:r w:rsidRPr="004479D9">
        <w:rPr>
          <w:rFonts w:ascii="Times New Roman" w:hAnsi="Times New Roman"/>
          <w:sz w:val="30"/>
          <w:szCs w:val="30"/>
        </w:rPr>
        <w:t>(УЗ «Брестская городская поликлиника № 5») на 500 посещений в смену с отделением дневного пребывания на 25 коек; женскую консультацию на 190 посещений в смену и детскую поликлинику (УЗ «Брестская городская детская поликлиника № 3») на 600 посещений в смену, централизованную лабораторию.</w:t>
      </w:r>
    </w:p>
    <w:p w:rsidR="00417844" w:rsidRPr="004479D9" w:rsidRDefault="00417844" w:rsidP="00D21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>В настоящее время из-за недостаточного финансирования внедрение проекта «Заботливая поликлиника» в определенных ранее учреждениях здравоохранения приостановлено.</w:t>
      </w:r>
    </w:p>
    <w:p w:rsidR="00417844" w:rsidRPr="004479D9" w:rsidRDefault="00417844" w:rsidP="00D21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В Брестской области в областных и межрайонных центрах </w:t>
      </w:r>
      <w:bookmarkStart w:id="0" w:name="_Hlk121735466"/>
      <w:r w:rsidRPr="004479D9">
        <w:rPr>
          <w:rFonts w:ascii="Times New Roman" w:hAnsi="Times New Roman"/>
          <w:sz w:val="30"/>
          <w:szCs w:val="30"/>
        </w:rPr>
        <w:t>выросли объемы высокотехнологичной кардиохирургической помощи</w:t>
      </w:r>
      <w:r>
        <w:rPr>
          <w:rFonts w:ascii="Times New Roman" w:hAnsi="Times New Roman"/>
          <w:sz w:val="30"/>
          <w:szCs w:val="30"/>
        </w:rPr>
        <w:t xml:space="preserve">. За истекший период </w:t>
      </w:r>
      <w:r w:rsidRPr="004479D9">
        <w:rPr>
          <w:rFonts w:ascii="Times New Roman" w:hAnsi="Times New Roman"/>
          <w:sz w:val="30"/>
          <w:szCs w:val="30"/>
        </w:rPr>
        <w:t>выполнено 2577 высокотехнологичных и сложных кардиохирургических операций (2022 г. – 2390). Количество интервенционных чрескожных вмешательств на артериях сердца составило 1721 операции или 1308,3 на 1 млн. населения, при контрольном показателе 979,8 на 1 млн. нас. По поводу имплантаций электрокардиостимуляторов и других устройств выполнено 354 оперативных вмешательства или 269,1 на 1 млн. населения, при контрольном показателе 269,0 на 1 млн. нас.</w:t>
      </w:r>
    </w:p>
    <w:p w:rsidR="00417844" w:rsidRPr="004479D9" w:rsidRDefault="00417844" w:rsidP="00D21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Всего при нарушениях ритма выполнено 395 вмешательств (2022 г. – 378), из них радиочастотных абляций (РЧА) – 31 (2022 г. – 31). </w:t>
      </w:r>
    </w:p>
    <w:p w:rsidR="00417844" w:rsidRPr="004479D9" w:rsidRDefault="00417844" w:rsidP="00D21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Количество оперативных вмешательств на сердце (АКШ, МКШ) несколько снизилось в сравнении с прошлым годом со 131 до 116 операций (при плане 150 на год); число клапанных коррекций составило 61 (2022 г. – 40), при годовом плане 80. Контрольный уровень по клапанным коррекциям достигнут, несмотря на перебои в поставках расходных материалов (с марта по июнь отсутствовала полная линейка протезов).  </w:t>
      </w:r>
    </w:p>
    <w:p w:rsidR="00417844" w:rsidRPr="004479D9" w:rsidRDefault="00417844" w:rsidP="00D21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>Неврологической службой проводится комплекс мероприятий по профилактике цереброваскулярных болезней, формированию потребности в здоровом образе жизни, контролю за динамическим диспансерным наблюдением пациентов с цереброваскулярными болезнями.</w:t>
      </w:r>
      <w:r w:rsidRPr="004479D9">
        <w:rPr>
          <w:rFonts w:ascii="Times New Roman" w:hAnsi="Times New Roman"/>
          <w:sz w:val="30"/>
          <w:szCs w:val="30"/>
        </w:rPr>
        <w:tab/>
      </w:r>
    </w:p>
    <w:bookmarkEnd w:id="0"/>
    <w:p w:rsidR="00417844" w:rsidRPr="004479D9" w:rsidRDefault="00417844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В рамках выполнения мероприятий Государственной программы «Здоровье народа и демографическая безопасность» на 2021-2025 годы в области проводится скрининг рака молочной железы, предстательной железы, колоректального рака и рака шейки матки. </w:t>
      </w:r>
    </w:p>
    <w:p w:rsidR="00417844" w:rsidRPr="004479D9" w:rsidRDefault="00417844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>За 9 месяцев 2023 года при выполнении скрининговой маммографии почти 9 000 женщин, рак молочной железы выявлен у 38, в т.ч. у 35 на ранней стадии.</w:t>
      </w:r>
    </w:p>
    <w:p w:rsidR="00417844" w:rsidRPr="004479D9" w:rsidRDefault="00417844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>В рамках скрининга рака предстательной железы за 9 месяцев 2023 года прошли тест на ПСА 8327 пациентов, рак предстательной железы выявлен у 44 пациентов, у 43 при этом на ранних стадиях.</w:t>
      </w:r>
    </w:p>
    <w:p w:rsidR="00417844" w:rsidRPr="004479D9" w:rsidRDefault="00417844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За 9 месяцев 2023 года проведено 514 скрининговых колоноскопий, </w:t>
      </w:r>
      <w:r>
        <w:rPr>
          <w:rFonts w:ascii="Times New Roman" w:hAnsi="Times New Roman"/>
          <w:sz w:val="30"/>
          <w:szCs w:val="30"/>
        </w:rPr>
        <w:t>к</w:t>
      </w:r>
      <w:r w:rsidRPr="004479D9">
        <w:rPr>
          <w:rFonts w:ascii="Times New Roman" w:hAnsi="Times New Roman"/>
          <w:sz w:val="30"/>
          <w:szCs w:val="30"/>
        </w:rPr>
        <w:t>олоректальный рак выявлен в 2 случаях, оба в ранней стадии.</w:t>
      </w:r>
    </w:p>
    <w:p w:rsidR="00417844" w:rsidRPr="004479D9" w:rsidRDefault="00417844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>Скрининг рака шейки матки проводится в УЗ «Пинская центральная поликлиника» путем тестирования на вирус папилломы человека высокого канцерогенного риска. За 9 месяцев 2023 года обследовано 3134 женщины. У 98 женщин получен положительный ВПЧ-тест, выявлено 7 случаев рака шейки матки, все на ранней стадии.</w:t>
      </w:r>
    </w:p>
    <w:p w:rsidR="00417844" w:rsidRPr="004479D9" w:rsidRDefault="00417844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>Всего за 9 месяцев в скрининговых мероприятиях по раку молочной железы, раку предстательной железы, колоректальному раку и раку шейки матки приняло участие почти 21 тысяча человек - 46% от подлежащих на 2023 год и 58,6% от подлежащих на 9 месяцев 2023 года, выявлен 91 случай рака, в 95 % случаев на ранних стадиях.</w:t>
      </w:r>
    </w:p>
    <w:p w:rsidR="00417844" w:rsidRPr="004479D9" w:rsidRDefault="00417844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В рамках реализации мероприятий по ранней диагностике опухолей головы и шеи в области за 9 месяцев 2023 года прошли осмотр почти 400 тысяч человек (90% от подлежащих). </w:t>
      </w:r>
    </w:p>
    <w:p w:rsidR="00417844" w:rsidRPr="004479D9" w:rsidRDefault="00417844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По результатам осмотра у 3189 пациентов выявлено подозрение на наличие новообразований головы и шеи, 76,5% прошли дообследование. Выявлено 195 случаев рака головы и шеи, в т.ч. 88 в ранней стадии (45,1%).  </w:t>
      </w:r>
    </w:p>
    <w:p w:rsidR="00417844" w:rsidRPr="004479D9" w:rsidRDefault="00417844" w:rsidP="00D219CF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>Предложения в организацию и совершенствование нормативно-правовой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4479D9">
        <w:rPr>
          <w:rFonts w:ascii="Times New Roman" w:hAnsi="Times New Roman"/>
          <w:sz w:val="30"/>
          <w:szCs w:val="30"/>
        </w:rPr>
        <w:t>и методической базы системы медицинской аккредитации представляются в Министерство здравоохранения Республики Беларусь по соответствующим запросам.</w:t>
      </w:r>
    </w:p>
    <w:p w:rsidR="00417844" w:rsidRPr="004479D9" w:rsidRDefault="00417844" w:rsidP="00D219CF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bCs/>
          <w:sz w:val="30"/>
          <w:szCs w:val="30"/>
        </w:rPr>
        <w:t>В пилотном проекте по переходу к системе финансирования на основе клинико-затратных групп учреждения здравоохранения Брестской области будут работать с 01.01.2024.</w:t>
      </w:r>
    </w:p>
    <w:p w:rsidR="00417844" w:rsidRPr="004479D9" w:rsidRDefault="00417844" w:rsidP="00D219CF">
      <w:pPr>
        <w:tabs>
          <w:tab w:val="left" w:pos="709"/>
          <w:tab w:val="left" w:leader="underscore" w:pos="3341"/>
          <w:tab w:val="left" w:leader="underscore" w:pos="8424"/>
        </w:tabs>
        <w:spacing w:after="0" w:line="36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</w:r>
      <w:r w:rsidRPr="004479D9">
        <w:rPr>
          <w:rFonts w:ascii="Times New Roman" w:hAnsi="Times New Roman"/>
          <w:sz w:val="30"/>
          <w:szCs w:val="30"/>
        </w:rPr>
        <w:t xml:space="preserve">По состоянию на 01.12.2023 к системе АИС «Электронный рецепт» подключены 78 организаций. К республиканской системе телемедицинского консультирования подключены 38 организаций. </w:t>
      </w:r>
    </w:p>
    <w:p w:rsidR="00417844" w:rsidRPr="00D219CF" w:rsidRDefault="00417844" w:rsidP="00D219CF">
      <w:pPr>
        <w:tabs>
          <w:tab w:val="left" w:pos="709"/>
          <w:tab w:val="left" w:leader="underscore" w:pos="3341"/>
          <w:tab w:val="left" w:leader="underscore" w:pos="842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>В текущем году реализуемый в рамках профилактической работы комплекс превентивных мер в области позволил нормализовать ситуацию по большинству инфекционных заболеваний, в том числе и по гриппу. В результате обеспечена стабилизация показателей инфекционной и паразитарной заболеваемости.</w:t>
      </w:r>
      <w:r>
        <w:rPr>
          <w:rFonts w:ascii="Times New Roman" w:hAnsi="Times New Roman"/>
          <w:sz w:val="30"/>
          <w:szCs w:val="30"/>
        </w:rPr>
        <w:t xml:space="preserve"> </w:t>
      </w:r>
      <w:r w:rsidRPr="004479D9">
        <w:rPr>
          <w:rFonts w:ascii="Times New Roman" w:hAnsi="Times New Roman"/>
          <w:sz w:val="30"/>
          <w:szCs w:val="30"/>
        </w:rPr>
        <w:t>Возобновлены мероприятия по плановой вакцинации населения.</w:t>
      </w:r>
    </w:p>
    <w:p w:rsidR="00417844" w:rsidRPr="004479D9" w:rsidRDefault="00417844" w:rsidP="00D219CF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30"/>
          <w:szCs w:val="30"/>
        </w:rPr>
      </w:pPr>
      <w:r w:rsidRPr="004479D9">
        <w:rPr>
          <w:rFonts w:ascii="Times New Roman" w:hAnsi="Times New Roman"/>
          <w:bCs/>
          <w:sz w:val="30"/>
          <w:szCs w:val="30"/>
        </w:rPr>
        <w:t>В 2023 году проекты «Здоровый город (поселок)» реализуются на 27 территориях области. В Проекте задействованы: 16 городов, 1 район, 4 поселка, 5 агрогородков и 1 сельский совет. В 3 квартале 2023 года список расширен за счет проекта «Жеребковичи – здоровый агрогородок» Ляховичского района (решение Ляховичского РИК №1133 от 05.09.2023).</w:t>
      </w:r>
    </w:p>
    <w:p w:rsidR="00417844" w:rsidRPr="004479D9" w:rsidRDefault="00417844" w:rsidP="00D219C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Наиболее успешно проект «Здоровый город (поселок)» по основным направлениям реализуется в </w:t>
      </w:r>
      <w:r>
        <w:rPr>
          <w:rFonts w:ascii="Times New Roman" w:hAnsi="Times New Roman"/>
          <w:sz w:val="30"/>
          <w:szCs w:val="30"/>
        </w:rPr>
        <w:t>городах</w:t>
      </w:r>
      <w:r w:rsidRPr="004479D9">
        <w:rPr>
          <w:rFonts w:ascii="Times New Roman" w:hAnsi="Times New Roman"/>
          <w:sz w:val="30"/>
          <w:szCs w:val="30"/>
        </w:rPr>
        <w:t xml:space="preserve"> Пинск, Ивацевичи, Брест, Барановичи, Пружаны, Дрогичин, Лунинец, Ляховичи, Иваново, Столин, в Кобринском районе; в Чернавчицком сельском Совете, в а/г. Оснежицы (Пинский р-н), г.п. Городище (Барановичский р-н), а/г Мотоль (Ивановский район), г. Микашевичи (Лунинецкий район), пос. Речица (Столинский район).</w:t>
      </w:r>
    </w:p>
    <w:p w:rsidR="00417844" w:rsidRPr="004479D9" w:rsidRDefault="00417844" w:rsidP="000A530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>В целом по области информационно-образовательный проект «Школа – территория здоровья» реализуется на базе 462 (97,9%) учреждений общего среднего образования из 472, который охватывает 170 694 учеников из 173 485 (98,4%).</w:t>
      </w:r>
    </w:p>
    <w:p w:rsidR="00417844" w:rsidRDefault="00417844" w:rsidP="000A530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В области реализуются 7 областных профилактических проектов:     4 на базе учреждений общего среднего образования («Мой выбор – жить с позитивом!», «Правильная осанка – залог здоровья!», «Школьное питание – здоровое и рациональное!», «Мы - за здоровый и безопасный отдых!»). 1 проект в ССУЗах и УПО «В защиту жизни!». </w:t>
      </w:r>
    </w:p>
    <w:p w:rsidR="00417844" w:rsidRDefault="00417844" w:rsidP="000A530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2 проекта на предприятиях («Здоровое сердце – залог успеха!» и «Предотврати болезнь – выбери жизнь!»). </w:t>
      </w:r>
    </w:p>
    <w:p w:rsidR="00417844" w:rsidRPr="004479D9" w:rsidRDefault="00417844" w:rsidP="00D219C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>Реализуются 2 проекта на базе Брестского областного ЦГЭиОЗ:</w:t>
      </w:r>
    </w:p>
    <w:p w:rsidR="00417844" w:rsidRDefault="00417844" w:rsidP="00D219C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«Центр наглядной профилактики» по профилактике потребления ПАВ для учащихся УО области; областная олимпиада по ЗОЖ (21 апреля 2023 года). </w:t>
      </w:r>
    </w:p>
    <w:p w:rsidR="00417844" w:rsidRPr="004479D9" w:rsidRDefault="00417844" w:rsidP="00D219C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>Реализуются 2 республиканских проекта: «Школа – территория здоровья», «Здоровые города и поселки».</w:t>
      </w:r>
    </w:p>
    <w:p w:rsidR="00417844" w:rsidRPr="004479D9" w:rsidRDefault="00417844" w:rsidP="00D219C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 xml:space="preserve">В рамках реализации межведомственного профилактического проекта «Здоровое сердце – залог успеха!» для работников организаций и предприятий Брестской области за истекший период  2023 года проведены 432 мероприятия, в которых приняли участие 63904 человек. Определен уровень артериального давления (АД) 62203 участникам мероприятий. Выявлено 11 908 человек (19,1%) с повышенным АД, из них 1306 - с впервые выявленным.  Оказана неотложная помощь 1 321 участнику мероприятий. </w:t>
      </w:r>
    </w:p>
    <w:p w:rsidR="00417844" w:rsidRPr="004479D9" w:rsidRDefault="00417844" w:rsidP="00BF520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479D9">
        <w:rPr>
          <w:rFonts w:ascii="Times New Roman" w:hAnsi="Times New Roman"/>
          <w:sz w:val="30"/>
          <w:szCs w:val="30"/>
        </w:rPr>
        <w:t>Всего специалистами проведено 13259 консультаций, в том числе кардиологом – 1937, терапевтом – 10183, офтальмологом – 1920 и неврологом – 2173. Проведены диагностические исследования: ЭКГ - 30252, определение показателей липидного обмена – 9727, УЗИ сердца – 1458, а также 18890 определений уровня глюкозы в крови и гликированного гемоглобина. По результатам консультативно-диагностической работы 1 464 человека или 2,3% от участников мероприятий направлены для дальнейшего обследования.</w:t>
      </w:r>
    </w:p>
    <w:p w:rsidR="00417844" w:rsidRDefault="00417844" w:rsidP="00D219CF">
      <w:pPr>
        <w:widowControl w:val="0"/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bookmarkStart w:id="1" w:name="_GoBack"/>
      <w:bookmarkEnd w:id="1"/>
      <w:r w:rsidRPr="00ED2926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Наличие необходимых лекарственных средств и контроль за необоснованным ростом цен на них.</w:t>
      </w:r>
    </w:p>
    <w:p w:rsidR="00417844" w:rsidRPr="009652F2" w:rsidRDefault="00417844" w:rsidP="009652F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zh-CN"/>
        </w:rPr>
      </w:pPr>
      <w:r w:rsidRPr="009652F2">
        <w:rPr>
          <w:rFonts w:ascii="Times New Roman" w:hAnsi="Times New Roman"/>
          <w:sz w:val="30"/>
          <w:szCs w:val="30"/>
          <w:lang w:eastAsia="zh-CN"/>
        </w:rPr>
        <w:t>Состояние лекарственного обеспечения</w:t>
      </w:r>
      <w:r w:rsidRPr="009652F2">
        <w:rPr>
          <w:rFonts w:ascii="Times New Roman" w:hAnsi="Times New Roman"/>
          <w:i/>
          <w:sz w:val="30"/>
          <w:szCs w:val="30"/>
          <w:lang w:eastAsia="zh-CN"/>
        </w:rPr>
        <w:t xml:space="preserve"> </w:t>
      </w:r>
      <w:r w:rsidRPr="009652F2">
        <w:rPr>
          <w:rFonts w:ascii="Times New Roman" w:hAnsi="Times New Roman"/>
          <w:sz w:val="30"/>
          <w:szCs w:val="30"/>
          <w:lang w:eastAsia="zh-CN"/>
        </w:rPr>
        <w:t xml:space="preserve">находится на постоянном контроле у руководства предприятия. На Брестском областном аптечном складе и в аптеках области имеются в наличии </w:t>
      </w:r>
      <w:r w:rsidRPr="009652F2">
        <w:rPr>
          <w:rFonts w:ascii="Times New Roman" w:hAnsi="Times New Roman"/>
          <w:color w:val="000000"/>
          <w:sz w:val="30"/>
          <w:szCs w:val="30"/>
          <w:lang w:eastAsia="zh-CN"/>
        </w:rPr>
        <w:t xml:space="preserve">лекарственные препараты в пределах всех фармакотерапевтических групп, что позволяет обеспечивать лечебный процесс в необходимом объеме. </w:t>
      </w:r>
      <w:r w:rsidRPr="009652F2">
        <w:rPr>
          <w:rFonts w:ascii="Times New Roman" w:hAnsi="Times New Roman"/>
          <w:sz w:val="30"/>
          <w:szCs w:val="30"/>
          <w:lang w:eastAsia="zh-CN"/>
        </w:rPr>
        <w:t>Неснижаемый запас составляет 2-3-х месячную потребность, по   отдельным позициям</w:t>
      </w:r>
      <w:r w:rsidRPr="009652F2">
        <w:rPr>
          <w:rFonts w:ascii="Times New Roman" w:hAnsi="Times New Roman"/>
          <w:b/>
          <w:sz w:val="30"/>
          <w:szCs w:val="30"/>
          <w:lang w:eastAsia="zh-CN"/>
        </w:rPr>
        <w:t xml:space="preserve">  </w:t>
      </w:r>
      <w:r w:rsidRPr="009652F2">
        <w:rPr>
          <w:rFonts w:ascii="Times New Roman" w:hAnsi="Times New Roman"/>
          <w:sz w:val="30"/>
          <w:szCs w:val="30"/>
          <w:lang w:eastAsia="zh-CN"/>
        </w:rPr>
        <w:t>до 12 месяцев.  Ассортимент лекарственных препаратов в сети поддерживается на протяжении года на уровне   4 000 наименований, в том числе отечественного производства - 1800 наименований. Одномоментно в обороте находится 7,0 - 8,0 млн. упаковок лекарственных средств, в том числе около 5,0 млн. упаковок отечественного производства (65% - 70%) и около 2,5 млн. упаковок импортного производства (30% - 35%).</w:t>
      </w:r>
    </w:p>
    <w:p w:rsidR="00417844" w:rsidRPr="009652F2" w:rsidRDefault="00417844" w:rsidP="009652F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zh-CN"/>
        </w:rPr>
      </w:pPr>
      <w:r w:rsidRPr="009652F2">
        <w:rPr>
          <w:rFonts w:ascii="Times New Roman" w:hAnsi="Times New Roman"/>
          <w:sz w:val="30"/>
          <w:szCs w:val="30"/>
          <w:lang w:eastAsia="zh-CN"/>
        </w:rPr>
        <w:t>Вопросы ценообразования на лекарственные средства находятся на постоянном контроле в органах государственного управления, а также непосредственно у руководителя предприятия.</w:t>
      </w:r>
    </w:p>
    <w:p w:rsidR="00417844" w:rsidRPr="009652F2" w:rsidRDefault="00417844" w:rsidP="009652F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zh-CN"/>
        </w:rPr>
      </w:pPr>
      <w:r w:rsidRPr="009652F2">
        <w:rPr>
          <w:rFonts w:ascii="Times New Roman" w:hAnsi="Times New Roman"/>
          <w:sz w:val="30"/>
          <w:szCs w:val="30"/>
          <w:lang w:eastAsia="zh-CN"/>
        </w:rPr>
        <w:t>Министерством антимонопольного регулирования и торговли Республики Беларусь, Министерством здравоохранения Республики Беларусь проводятся мониторинги цен на лекарственные средства в аптеках государственной и негосударственной формы собственности.</w:t>
      </w:r>
    </w:p>
    <w:p w:rsidR="00417844" w:rsidRPr="009652F2" w:rsidRDefault="00417844" w:rsidP="009652F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zh-CN"/>
        </w:rPr>
      </w:pPr>
      <w:r w:rsidRPr="009652F2">
        <w:rPr>
          <w:rFonts w:ascii="Times New Roman" w:hAnsi="Times New Roman"/>
          <w:sz w:val="30"/>
          <w:szCs w:val="30"/>
          <w:lang w:eastAsia="zh-CN"/>
        </w:rPr>
        <w:t>В Брестском РУП «Фармация» цены формируются  централизованно. Аптеки предприятия получают лекарственные препараты с Брестского областного аптечного склада со  сформированными  розничными ценами.</w:t>
      </w:r>
    </w:p>
    <w:p w:rsidR="00417844" w:rsidRPr="009652F2" w:rsidRDefault="00417844" w:rsidP="009652F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zh-CN"/>
        </w:rPr>
      </w:pPr>
      <w:r w:rsidRPr="009652F2">
        <w:rPr>
          <w:rFonts w:ascii="Times New Roman" w:hAnsi="Times New Roman"/>
          <w:sz w:val="30"/>
          <w:szCs w:val="30"/>
          <w:lang w:eastAsia="zh-CN"/>
        </w:rPr>
        <w:t>В Республике Беларусь лекарственные средства относятся к группе товаров, в отношении которых действует единый порядок формирования цен, установленный для всех субъектов хозяйствования, осуществляющих фармацевтическую деятельность, Указом Президента Республики Беларусь от 11.08.2005 года №</w:t>
      </w:r>
      <w:r>
        <w:rPr>
          <w:rFonts w:ascii="Times New Roman" w:hAnsi="Times New Roman"/>
          <w:sz w:val="30"/>
          <w:szCs w:val="30"/>
          <w:lang w:eastAsia="zh-CN"/>
        </w:rPr>
        <w:t xml:space="preserve"> </w:t>
      </w:r>
      <w:r w:rsidRPr="009652F2">
        <w:rPr>
          <w:rFonts w:ascii="Times New Roman" w:hAnsi="Times New Roman"/>
          <w:sz w:val="30"/>
          <w:szCs w:val="30"/>
          <w:lang w:eastAsia="zh-CN"/>
        </w:rPr>
        <w:t>366 «О формировании цен на лекарственные средства, изделия медицинского назначения и медицинскую технику» (далее – Указ 366).</w:t>
      </w:r>
    </w:p>
    <w:p w:rsidR="00417844" w:rsidRPr="009652F2" w:rsidRDefault="00417844" w:rsidP="009652F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zh-CN"/>
        </w:rPr>
      </w:pPr>
      <w:r w:rsidRPr="009652F2">
        <w:rPr>
          <w:rFonts w:ascii="Times New Roman" w:hAnsi="Times New Roman"/>
          <w:sz w:val="30"/>
          <w:szCs w:val="30"/>
          <w:lang w:eastAsia="zh-CN"/>
        </w:rPr>
        <w:t>Согласно Указу №</w:t>
      </w:r>
      <w:r>
        <w:rPr>
          <w:rFonts w:ascii="Times New Roman" w:hAnsi="Times New Roman"/>
          <w:sz w:val="30"/>
          <w:szCs w:val="30"/>
          <w:lang w:eastAsia="zh-CN"/>
        </w:rPr>
        <w:t xml:space="preserve"> </w:t>
      </w:r>
      <w:r w:rsidRPr="009652F2">
        <w:rPr>
          <w:rFonts w:ascii="Times New Roman" w:hAnsi="Times New Roman"/>
          <w:sz w:val="30"/>
          <w:szCs w:val="30"/>
          <w:lang w:eastAsia="zh-CN"/>
        </w:rPr>
        <w:t>366 формирование розничных цен на лекарственные средства осуществляется путем применения дифференцированных надбавок (размер которых не должен превышать установленного Указом №</w:t>
      </w:r>
      <w:r>
        <w:rPr>
          <w:rFonts w:ascii="Times New Roman" w:hAnsi="Times New Roman"/>
          <w:sz w:val="30"/>
          <w:szCs w:val="30"/>
          <w:lang w:eastAsia="zh-CN"/>
        </w:rPr>
        <w:t xml:space="preserve"> </w:t>
      </w:r>
      <w:r w:rsidRPr="009652F2">
        <w:rPr>
          <w:rFonts w:ascii="Times New Roman" w:hAnsi="Times New Roman"/>
          <w:sz w:val="30"/>
          <w:szCs w:val="30"/>
          <w:lang w:eastAsia="zh-CN"/>
        </w:rPr>
        <w:t xml:space="preserve">366 предельного уровня) к расчетной отпускной  цене первого импортера. Расчетная отпускная цена на импортные лекарственные средства формируется исходя из контрактной цены, пересчитанной в белорусские рубли по официальному курсу Национального банка Республики Беларусь, с учетом таможенных платежей, транспортных расходов, налога на добавленную стоимость в соответствии с законодательством. Значительное влияние на цену импортного лекарственного средства оказывает контрактная цена производителя, изменение курса белорусского рубля по отношению к курсу иностранных валют. </w:t>
      </w:r>
    </w:p>
    <w:p w:rsidR="00417844" w:rsidRPr="009652F2" w:rsidRDefault="00417844" w:rsidP="009652F2">
      <w:pPr>
        <w:suppressAutoHyphens/>
        <w:spacing w:after="0" w:line="240" w:lineRule="auto"/>
        <w:jc w:val="both"/>
        <w:rPr>
          <w:rFonts w:ascii="Times New Roman" w:hAnsi="Times New Roman"/>
          <w:sz w:val="30"/>
          <w:szCs w:val="30"/>
          <w:lang w:eastAsia="zh-CN"/>
        </w:rPr>
      </w:pPr>
      <w:r w:rsidRPr="009652F2">
        <w:rPr>
          <w:rFonts w:ascii="Times New Roman" w:hAnsi="Times New Roman"/>
          <w:sz w:val="30"/>
          <w:szCs w:val="30"/>
          <w:lang w:eastAsia="zh-CN"/>
        </w:rPr>
        <w:tab/>
        <w:t>При формировании цен на лекарственные препараты, которые включены в перечень, определенный постановлением Советом Министров Республики Беларусь от 31 октября 2018 года №</w:t>
      </w:r>
      <w:r>
        <w:rPr>
          <w:rFonts w:ascii="Times New Roman" w:hAnsi="Times New Roman"/>
          <w:sz w:val="30"/>
          <w:szCs w:val="30"/>
          <w:lang w:eastAsia="zh-CN"/>
        </w:rPr>
        <w:t xml:space="preserve"> </w:t>
      </w:r>
      <w:r w:rsidRPr="009652F2">
        <w:rPr>
          <w:rFonts w:ascii="Times New Roman" w:hAnsi="Times New Roman"/>
          <w:sz w:val="30"/>
          <w:szCs w:val="30"/>
          <w:lang w:eastAsia="zh-CN"/>
        </w:rPr>
        <w:t xml:space="preserve">776 «О регистрации предельных отпускных цен производителей на лекарственные средства» </w:t>
      </w:r>
      <w:r>
        <w:rPr>
          <w:rFonts w:ascii="Times New Roman" w:hAnsi="Times New Roman"/>
          <w:sz w:val="30"/>
          <w:szCs w:val="30"/>
          <w:lang w:eastAsia="zh-CN"/>
        </w:rPr>
        <w:t xml:space="preserve">  </w:t>
      </w:r>
      <w:r w:rsidRPr="009652F2">
        <w:rPr>
          <w:rFonts w:ascii="Times New Roman" w:hAnsi="Times New Roman"/>
          <w:sz w:val="30"/>
          <w:szCs w:val="30"/>
          <w:lang w:eastAsia="zh-CN"/>
        </w:rPr>
        <w:t xml:space="preserve">(с учетом изменений и дополнений) учитываются зарегистрированные предельные отпускные цены производителей лекарственных препаратов. </w:t>
      </w:r>
    </w:p>
    <w:p w:rsidR="00417844" w:rsidRPr="00ED2926" w:rsidRDefault="00417844" w:rsidP="009652F2">
      <w:pPr>
        <w:widowControl w:val="0"/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 w:rsidRPr="009652F2">
        <w:rPr>
          <w:rFonts w:ascii="Times New Roman" w:hAnsi="Times New Roman"/>
          <w:sz w:val="30"/>
          <w:szCs w:val="30"/>
          <w:lang w:eastAsia="zh-CN"/>
        </w:rPr>
        <w:t>Действующая ценовая политика предприятия предусматривает меры по снижению ценовой нагрузки в розничном звене. Так, при формировании розничных цен не применяются максимально разрешенные торговые надбавки. Также, в аптеках предприятия реализуются скидочные программы для населения.</w:t>
      </w:r>
    </w:p>
    <w:sectPr w:rsidR="00417844" w:rsidRPr="00ED2926" w:rsidSect="00D221E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844" w:rsidRDefault="00417844" w:rsidP="00E26593">
      <w:pPr>
        <w:spacing w:after="0" w:line="240" w:lineRule="auto"/>
      </w:pPr>
      <w:r>
        <w:separator/>
      </w:r>
    </w:p>
  </w:endnote>
  <w:endnote w:type="continuationSeparator" w:id="0">
    <w:p w:rsidR="00417844" w:rsidRDefault="00417844" w:rsidP="00E2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844" w:rsidRDefault="00417844" w:rsidP="00E26593">
      <w:pPr>
        <w:spacing w:after="0" w:line="240" w:lineRule="auto"/>
      </w:pPr>
      <w:r>
        <w:separator/>
      </w:r>
    </w:p>
  </w:footnote>
  <w:footnote w:type="continuationSeparator" w:id="0">
    <w:p w:rsidR="00417844" w:rsidRDefault="00417844" w:rsidP="00E2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844" w:rsidRPr="00D221E7" w:rsidRDefault="00417844">
    <w:pPr>
      <w:pStyle w:val="Header"/>
      <w:jc w:val="center"/>
      <w:rPr>
        <w:rFonts w:ascii="Times New Roman" w:hAnsi="Times New Roman"/>
        <w:sz w:val="30"/>
        <w:szCs w:val="30"/>
      </w:rPr>
    </w:pPr>
    <w:r w:rsidRPr="00D221E7">
      <w:rPr>
        <w:rFonts w:ascii="Times New Roman" w:hAnsi="Times New Roman"/>
        <w:sz w:val="30"/>
        <w:szCs w:val="30"/>
      </w:rPr>
      <w:fldChar w:fldCharType="begin"/>
    </w:r>
    <w:r w:rsidRPr="00D221E7">
      <w:rPr>
        <w:rFonts w:ascii="Times New Roman" w:hAnsi="Times New Roman"/>
        <w:sz w:val="30"/>
        <w:szCs w:val="30"/>
      </w:rPr>
      <w:instrText>PAGE   \* MERGEFORMAT</w:instrText>
    </w:r>
    <w:r w:rsidRPr="00D221E7">
      <w:rPr>
        <w:rFonts w:ascii="Times New Roman" w:hAnsi="Times New Roman"/>
        <w:sz w:val="30"/>
        <w:szCs w:val="30"/>
      </w:rPr>
      <w:fldChar w:fldCharType="separate"/>
    </w:r>
    <w:r>
      <w:rPr>
        <w:rFonts w:ascii="Times New Roman" w:hAnsi="Times New Roman"/>
        <w:noProof/>
        <w:sz w:val="30"/>
        <w:szCs w:val="30"/>
      </w:rPr>
      <w:t>6</w:t>
    </w:r>
    <w:r w:rsidRPr="00D221E7">
      <w:rPr>
        <w:rFonts w:ascii="Times New Roman" w:hAnsi="Times New Roman"/>
        <w:sz w:val="30"/>
        <w:szCs w:val="30"/>
      </w:rPr>
      <w:fldChar w:fldCharType="end"/>
    </w:r>
  </w:p>
  <w:p w:rsidR="00417844" w:rsidRDefault="004178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22E0C"/>
    <w:multiLevelType w:val="hybridMultilevel"/>
    <w:tmpl w:val="5B787DE6"/>
    <w:lvl w:ilvl="0" w:tplc="4B52F026">
      <w:start w:val="1"/>
      <w:numFmt w:val="bullet"/>
      <w:lvlText w:val="-"/>
      <w:lvlJc w:val="righ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6D2"/>
    <w:rsid w:val="00002596"/>
    <w:rsid w:val="00002773"/>
    <w:rsid w:val="0000672E"/>
    <w:rsid w:val="00015898"/>
    <w:rsid w:val="00024DDD"/>
    <w:rsid w:val="00033859"/>
    <w:rsid w:val="00054875"/>
    <w:rsid w:val="00091855"/>
    <w:rsid w:val="000A5309"/>
    <w:rsid w:val="000A7F6D"/>
    <w:rsid w:val="000B2FDB"/>
    <w:rsid w:val="000B5A90"/>
    <w:rsid w:val="000E0CEE"/>
    <w:rsid w:val="000E3D77"/>
    <w:rsid w:val="000E6E72"/>
    <w:rsid w:val="000E79F8"/>
    <w:rsid w:val="000F2AA5"/>
    <w:rsid w:val="00101F55"/>
    <w:rsid w:val="00143997"/>
    <w:rsid w:val="0014407A"/>
    <w:rsid w:val="00155BEA"/>
    <w:rsid w:val="001719FC"/>
    <w:rsid w:val="0017452B"/>
    <w:rsid w:val="0018170A"/>
    <w:rsid w:val="00184BCA"/>
    <w:rsid w:val="001A2701"/>
    <w:rsid w:val="001B2D0A"/>
    <w:rsid w:val="001C45C9"/>
    <w:rsid w:val="001D5564"/>
    <w:rsid w:val="001F5BE2"/>
    <w:rsid w:val="002167E5"/>
    <w:rsid w:val="00235A24"/>
    <w:rsid w:val="002650EE"/>
    <w:rsid w:val="00274ABF"/>
    <w:rsid w:val="0029261A"/>
    <w:rsid w:val="002A1F30"/>
    <w:rsid w:val="002A4F43"/>
    <w:rsid w:val="002B5451"/>
    <w:rsid w:val="002C151A"/>
    <w:rsid w:val="002E57C4"/>
    <w:rsid w:val="002F0E99"/>
    <w:rsid w:val="002F60C4"/>
    <w:rsid w:val="0033571D"/>
    <w:rsid w:val="00357595"/>
    <w:rsid w:val="003A24AC"/>
    <w:rsid w:val="003A50A7"/>
    <w:rsid w:val="003B036F"/>
    <w:rsid w:val="003B32D5"/>
    <w:rsid w:val="003C495E"/>
    <w:rsid w:val="003D5806"/>
    <w:rsid w:val="003F43E8"/>
    <w:rsid w:val="0040482D"/>
    <w:rsid w:val="00405EB5"/>
    <w:rsid w:val="0041300B"/>
    <w:rsid w:val="004149F1"/>
    <w:rsid w:val="00417844"/>
    <w:rsid w:val="00421865"/>
    <w:rsid w:val="00434BC5"/>
    <w:rsid w:val="004479D9"/>
    <w:rsid w:val="00447B4D"/>
    <w:rsid w:val="00462F86"/>
    <w:rsid w:val="0046768F"/>
    <w:rsid w:val="004803CD"/>
    <w:rsid w:val="00482A2C"/>
    <w:rsid w:val="004B1B3D"/>
    <w:rsid w:val="004C16DE"/>
    <w:rsid w:val="004C2280"/>
    <w:rsid w:val="004E16D7"/>
    <w:rsid w:val="0050141C"/>
    <w:rsid w:val="00503214"/>
    <w:rsid w:val="00503D17"/>
    <w:rsid w:val="005218D0"/>
    <w:rsid w:val="00532A03"/>
    <w:rsid w:val="00540CFF"/>
    <w:rsid w:val="00543AD4"/>
    <w:rsid w:val="005504C6"/>
    <w:rsid w:val="0055156B"/>
    <w:rsid w:val="005665ED"/>
    <w:rsid w:val="0057386B"/>
    <w:rsid w:val="00573F59"/>
    <w:rsid w:val="00590377"/>
    <w:rsid w:val="005A4ADC"/>
    <w:rsid w:val="005A552F"/>
    <w:rsid w:val="005C2DAB"/>
    <w:rsid w:val="005C7E25"/>
    <w:rsid w:val="006226BD"/>
    <w:rsid w:val="006245DA"/>
    <w:rsid w:val="00627112"/>
    <w:rsid w:val="0063227A"/>
    <w:rsid w:val="00644A51"/>
    <w:rsid w:val="00660F07"/>
    <w:rsid w:val="00665336"/>
    <w:rsid w:val="00677227"/>
    <w:rsid w:val="0069707C"/>
    <w:rsid w:val="006A378E"/>
    <w:rsid w:val="0071216A"/>
    <w:rsid w:val="00723579"/>
    <w:rsid w:val="0073270A"/>
    <w:rsid w:val="00736C19"/>
    <w:rsid w:val="0077604F"/>
    <w:rsid w:val="007979BA"/>
    <w:rsid w:val="007A5351"/>
    <w:rsid w:val="007A735B"/>
    <w:rsid w:val="007B3230"/>
    <w:rsid w:val="007B66B5"/>
    <w:rsid w:val="007C0718"/>
    <w:rsid w:val="007E771B"/>
    <w:rsid w:val="007F1C96"/>
    <w:rsid w:val="00804536"/>
    <w:rsid w:val="008079FE"/>
    <w:rsid w:val="008204B3"/>
    <w:rsid w:val="00826103"/>
    <w:rsid w:val="0085276D"/>
    <w:rsid w:val="008C6EA6"/>
    <w:rsid w:val="008C700E"/>
    <w:rsid w:val="008E01F8"/>
    <w:rsid w:val="008E76D2"/>
    <w:rsid w:val="008F57B0"/>
    <w:rsid w:val="0091045C"/>
    <w:rsid w:val="009375A8"/>
    <w:rsid w:val="0093771C"/>
    <w:rsid w:val="009527EF"/>
    <w:rsid w:val="009652F2"/>
    <w:rsid w:val="009729EF"/>
    <w:rsid w:val="009B6000"/>
    <w:rsid w:val="009C46A9"/>
    <w:rsid w:val="009D59DA"/>
    <w:rsid w:val="009D7E06"/>
    <w:rsid w:val="009F2C8D"/>
    <w:rsid w:val="009F4A55"/>
    <w:rsid w:val="00A1698E"/>
    <w:rsid w:val="00A17E69"/>
    <w:rsid w:val="00A21186"/>
    <w:rsid w:val="00A27494"/>
    <w:rsid w:val="00A2782F"/>
    <w:rsid w:val="00A47899"/>
    <w:rsid w:val="00A77093"/>
    <w:rsid w:val="00AA0CB2"/>
    <w:rsid w:val="00AC362B"/>
    <w:rsid w:val="00AE57FF"/>
    <w:rsid w:val="00AF7F33"/>
    <w:rsid w:val="00B11CB2"/>
    <w:rsid w:val="00B202E6"/>
    <w:rsid w:val="00B446F7"/>
    <w:rsid w:val="00B5006C"/>
    <w:rsid w:val="00B94206"/>
    <w:rsid w:val="00BC5CE7"/>
    <w:rsid w:val="00BF50A1"/>
    <w:rsid w:val="00BF5205"/>
    <w:rsid w:val="00C01EDC"/>
    <w:rsid w:val="00C06DE6"/>
    <w:rsid w:val="00C25A66"/>
    <w:rsid w:val="00C37858"/>
    <w:rsid w:val="00C475EE"/>
    <w:rsid w:val="00C56602"/>
    <w:rsid w:val="00C6070A"/>
    <w:rsid w:val="00C74289"/>
    <w:rsid w:val="00C74818"/>
    <w:rsid w:val="00C82076"/>
    <w:rsid w:val="00C94C65"/>
    <w:rsid w:val="00CB2F58"/>
    <w:rsid w:val="00D058BC"/>
    <w:rsid w:val="00D20557"/>
    <w:rsid w:val="00D219CF"/>
    <w:rsid w:val="00D221E7"/>
    <w:rsid w:val="00D32397"/>
    <w:rsid w:val="00D343B6"/>
    <w:rsid w:val="00D579BA"/>
    <w:rsid w:val="00DA4562"/>
    <w:rsid w:val="00DB4297"/>
    <w:rsid w:val="00DC03C9"/>
    <w:rsid w:val="00DC1D74"/>
    <w:rsid w:val="00DF5E93"/>
    <w:rsid w:val="00E04881"/>
    <w:rsid w:val="00E2023B"/>
    <w:rsid w:val="00E26593"/>
    <w:rsid w:val="00E26B0B"/>
    <w:rsid w:val="00E5455C"/>
    <w:rsid w:val="00EC4CED"/>
    <w:rsid w:val="00ED2926"/>
    <w:rsid w:val="00EF0AB8"/>
    <w:rsid w:val="00F01640"/>
    <w:rsid w:val="00F051B7"/>
    <w:rsid w:val="00F10806"/>
    <w:rsid w:val="00F113A8"/>
    <w:rsid w:val="00F24856"/>
    <w:rsid w:val="00F4266E"/>
    <w:rsid w:val="00F564EA"/>
    <w:rsid w:val="00F868C0"/>
    <w:rsid w:val="00F9108E"/>
    <w:rsid w:val="00FB1D78"/>
    <w:rsid w:val="00FC5265"/>
    <w:rsid w:val="00FF1E3B"/>
    <w:rsid w:val="00FF498F"/>
    <w:rsid w:val="00FF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85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8E76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E76D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7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ABF"/>
    <w:rPr>
      <w:rFonts w:ascii="Tahoma" w:hAnsi="Tahoma" w:cs="Tahoma"/>
      <w:sz w:val="16"/>
      <w:szCs w:val="16"/>
    </w:rPr>
  </w:style>
  <w:style w:type="paragraph" w:customStyle="1" w:styleId="split-by-words">
    <w:name w:val="split-by-words"/>
    <w:basedOn w:val="Normal"/>
    <w:uiPriority w:val="99"/>
    <w:rsid w:val="00235A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DefaultParagraphFont"/>
    <w:uiPriority w:val="99"/>
    <w:rsid w:val="00235A24"/>
    <w:rPr>
      <w:rFonts w:cs="Times New Roman"/>
    </w:rPr>
  </w:style>
  <w:style w:type="character" w:customStyle="1" w:styleId="fake-non-breaking-space">
    <w:name w:val="fake-non-breaking-space"/>
    <w:basedOn w:val="DefaultParagraphFont"/>
    <w:uiPriority w:val="99"/>
    <w:rsid w:val="00235A2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26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265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26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2659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1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2033</Words>
  <Characters>11589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М. Бобрук</dc:creator>
  <cp:keywords/>
  <dc:description/>
  <cp:lastModifiedBy>KOV</cp:lastModifiedBy>
  <cp:revision>3</cp:revision>
  <cp:lastPrinted>2023-12-22T08:16:00Z</cp:lastPrinted>
  <dcterms:created xsi:type="dcterms:W3CDTF">2024-01-11T05:13:00Z</dcterms:created>
  <dcterms:modified xsi:type="dcterms:W3CDTF">2024-01-15T06:13:00Z</dcterms:modified>
</cp:coreProperties>
</file>